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701" w:rsidRDefault="00D37701">
      <w:pPr>
        <w:spacing w:after="0" w:line="240" w:lineRule="auto"/>
        <w:jc w:val="center"/>
        <w:rPr>
          <w:rFonts w:ascii="Times New Roman" w:eastAsia="Times New Roman" w:hAnsi="Times New Roman"/>
          <w:i/>
          <w:sz w:val="20"/>
          <w:szCs w:val="20"/>
        </w:rPr>
      </w:pPr>
      <w:bookmarkStart w:id="0" w:name="_GoBack"/>
      <w:bookmarkEnd w:id="0"/>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6" w14:textId="04FB36A5" w:rsidR="00D37701" w:rsidRPr="008E2E6D" w:rsidRDefault="00A93C06" w:rsidP="00DF3764">
      <w:pPr>
        <w:spacing w:after="280" w:line="240" w:lineRule="auto"/>
        <w:jc w:val="center"/>
        <w:rPr>
          <w:rFonts w:ascii="Times New Roman" w:eastAsia="Times New Roman" w:hAnsi="Times New Roman"/>
          <w:i/>
          <w:sz w:val="24"/>
          <w:szCs w:val="24"/>
        </w:rPr>
      </w:pPr>
      <w:r w:rsidRPr="008E2E6D">
        <w:rPr>
          <w:rFonts w:ascii="Times New Roman" w:eastAsia="Times New Roman" w:hAnsi="Times New Roman"/>
          <w:sz w:val="24"/>
          <w:szCs w:val="24"/>
        </w:rPr>
        <w:t xml:space="preserve">технічних та якісних характеристик </w:t>
      </w:r>
      <w:r w:rsidR="00C949CF" w:rsidRPr="00C949CF">
        <w:rPr>
          <w:rFonts w:ascii="Times New Roman" w:hAnsi="Times New Roman"/>
          <w:b/>
          <w:bCs/>
          <w:noProof/>
          <w:sz w:val="24"/>
          <w:szCs w:val="24"/>
          <w:lang w:eastAsia="en-US"/>
        </w:rPr>
        <w:t>Поточний ремонт по заміні окремих віконних блоків на енергоефективні у приміщенні Носівської гімназії №2, що знаходиться за адресою: м. Носівка, вул. Привітна, 1а</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9E7F9D3"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6E161B">
        <w:rPr>
          <w:rFonts w:ascii="Times New Roman" w:eastAsia="Times New Roman" w:hAnsi="Times New Roman"/>
          <w:b/>
          <w:sz w:val="24"/>
          <w:szCs w:val="24"/>
        </w:rPr>
        <w:t xml:space="preserve">17100, Україна, Чернігівська обл., м. Носівка, вул. Центральна, 20,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0000008" w14:textId="3C729353" w:rsidR="00D37701" w:rsidRPr="00DF3764" w:rsidRDefault="00A93C06">
      <w:pPr>
        <w:spacing w:before="280" w:after="280" w:line="240" w:lineRule="auto"/>
        <w:jc w:val="both"/>
        <w:rPr>
          <w:rFonts w:ascii="Times New Roman" w:eastAsia="Times New Roman" w:hAnsi="Times New Roman"/>
          <w:b/>
          <w:color w:val="000000"/>
          <w:sz w:val="24"/>
          <w:szCs w:val="24"/>
        </w:rPr>
      </w:pPr>
      <w:bookmarkStart w:id="1" w:name="_heading=h.gjdgxs" w:colFirst="0" w:colLast="0"/>
      <w:bookmarkEnd w:id="1"/>
      <w:r w:rsidRPr="00DF3764">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F3764">
        <w:rPr>
          <w:rFonts w:ascii="Times New Roman" w:eastAsia="Times New Roman" w:hAnsi="Times New Roman"/>
          <w:sz w:val="24"/>
          <w:szCs w:val="24"/>
        </w:rPr>
        <w:t xml:space="preserve"> </w:t>
      </w:r>
      <w:r w:rsidR="00C949CF" w:rsidRPr="00C949CF">
        <w:rPr>
          <w:rFonts w:ascii="Times New Roman" w:eastAsia="Times New Roman" w:hAnsi="Times New Roman"/>
          <w:b/>
          <w:bCs/>
          <w:sz w:val="24"/>
          <w:szCs w:val="24"/>
          <w:highlight w:val="white"/>
          <w:lang w:eastAsia="uk-UA"/>
        </w:rPr>
        <w:t xml:space="preserve">Поточний ремонт по заміні окремих віконних блоків на енергоефективні у приміщенні Носівської гімназії №2, що знаходиться за </w:t>
      </w:r>
      <w:proofErr w:type="spellStart"/>
      <w:r w:rsidR="00C949CF" w:rsidRPr="00C949CF">
        <w:rPr>
          <w:rFonts w:ascii="Times New Roman" w:eastAsia="Times New Roman" w:hAnsi="Times New Roman"/>
          <w:b/>
          <w:bCs/>
          <w:sz w:val="24"/>
          <w:szCs w:val="24"/>
          <w:highlight w:val="white"/>
          <w:lang w:eastAsia="uk-UA"/>
        </w:rPr>
        <w:t>адресою</w:t>
      </w:r>
      <w:proofErr w:type="spellEnd"/>
      <w:r w:rsidR="00C949CF" w:rsidRPr="00C949CF">
        <w:rPr>
          <w:rFonts w:ascii="Times New Roman" w:eastAsia="Times New Roman" w:hAnsi="Times New Roman"/>
          <w:b/>
          <w:bCs/>
          <w:sz w:val="24"/>
          <w:szCs w:val="24"/>
          <w:highlight w:val="white"/>
          <w:lang w:eastAsia="uk-UA"/>
        </w:rPr>
        <w:t>: м. Носівка, вул. Привітна, 1а код 45420000-7 Столярні та теслярні роботи</w:t>
      </w:r>
      <w:r w:rsidR="00C949CF" w:rsidRPr="00C949CF">
        <w:rPr>
          <w:rFonts w:ascii="Times New Roman" w:eastAsia="Times New Roman" w:hAnsi="Times New Roman"/>
          <w:b/>
          <w:bCs/>
          <w:sz w:val="24"/>
          <w:szCs w:val="24"/>
          <w:lang w:eastAsia="uk-UA"/>
        </w:rPr>
        <w:t xml:space="preserve"> </w:t>
      </w:r>
      <w:r w:rsidR="00CA24FF" w:rsidRPr="00DF3764">
        <w:rPr>
          <w:rFonts w:ascii="Times New Roman" w:hAnsi="Times New Roman"/>
          <w:color w:val="000000"/>
          <w:sz w:val="24"/>
          <w:szCs w:val="24"/>
        </w:rPr>
        <w:t>за ДК 021:2015 Єдиного закупівельного словника</w:t>
      </w:r>
      <w:r w:rsidRPr="00DF3764">
        <w:rPr>
          <w:rFonts w:ascii="Times New Roman" w:eastAsia="Times New Roman" w:hAnsi="Times New Roman"/>
          <w:b/>
          <w:color w:val="242424"/>
          <w:sz w:val="24"/>
          <w:szCs w:val="24"/>
        </w:rPr>
        <w:t>.</w:t>
      </w:r>
    </w:p>
    <w:p w14:paraId="00000009" w14:textId="3BC56E5A"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9529BA" w:rsidRPr="009529BA">
        <w:rPr>
          <w:rFonts w:ascii="Times New Roman" w:eastAsia="Times New Roman" w:hAnsi="Times New Roman"/>
          <w:b/>
          <w:sz w:val="24"/>
          <w:szCs w:val="24"/>
        </w:rPr>
        <w:t>відкриті торги за особливостями</w:t>
      </w:r>
      <w:r w:rsidR="009529BA">
        <w:rPr>
          <w:rFonts w:ascii="Times New Roman" w:eastAsia="Times New Roman" w:hAnsi="Times New Roman"/>
          <w:sz w:val="24"/>
          <w:szCs w:val="24"/>
        </w:rPr>
        <w:t xml:space="preserve"> </w:t>
      </w:r>
      <w:r w:rsidR="008E2E6D" w:rsidRPr="008E2E6D">
        <w:rPr>
          <w:rFonts w:ascii="Times New Roman" w:eastAsia="Times New Roman" w:hAnsi="Times New Roman"/>
          <w:b/>
          <w:sz w:val="24"/>
          <w:szCs w:val="24"/>
          <w:lang w:val="en-US"/>
        </w:rPr>
        <w:t>UA</w:t>
      </w:r>
      <w:r w:rsidR="008E2E6D" w:rsidRPr="008E2E6D">
        <w:rPr>
          <w:rFonts w:ascii="Times New Roman" w:eastAsia="Times New Roman" w:hAnsi="Times New Roman"/>
          <w:b/>
          <w:sz w:val="24"/>
          <w:szCs w:val="24"/>
          <w:lang w:val="ru-RU"/>
        </w:rPr>
        <w:t>-202</w:t>
      </w:r>
      <w:r w:rsidR="00C949CF">
        <w:rPr>
          <w:rFonts w:ascii="Times New Roman" w:eastAsia="Times New Roman" w:hAnsi="Times New Roman"/>
          <w:b/>
          <w:sz w:val="24"/>
          <w:szCs w:val="24"/>
          <w:lang w:val="ru-RU"/>
        </w:rPr>
        <w:t>6</w:t>
      </w:r>
      <w:r w:rsidR="008E2E6D" w:rsidRPr="008E2E6D">
        <w:rPr>
          <w:rFonts w:ascii="Times New Roman" w:eastAsia="Times New Roman" w:hAnsi="Times New Roman"/>
          <w:b/>
          <w:sz w:val="24"/>
          <w:szCs w:val="24"/>
          <w:lang w:val="ru-RU"/>
        </w:rPr>
        <w:t>-</w:t>
      </w:r>
      <w:r w:rsidR="00C949CF">
        <w:rPr>
          <w:rFonts w:ascii="Times New Roman" w:eastAsia="Times New Roman" w:hAnsi="Times New Roman"/>
          <w:b/>
          <w:sz w:val="24"/>
          <w:szCs w:val="24"/>
          <w:lang w:val="ru-RU"/>
        </w:rPr>
        <w:t>04</w:t>
      </w:r>
      <w:r w:rsidR="008E2E6D" w:rsidRPr="008E2E6D">
        <w:rPr>
          <w:rFonts w:ascii="Times New Roman" w:eastAsia="Times New Roman" w:hAnsi="Times New Roman"/>
          <w:b/>
          <w:sz w:val="24"/>
          <w:szCs w:val="24"/>
          <w:lang w:val="ru-RU"/>
        </w:rPr>
        <w:t>-</w:t>
      </w:r>
      <w:r w:rsidR="00C949CF">
        <w:rPr>
          <w:rFonts w:ascii="Times New Roman" w:eastAsia="Times New Roman" w:hAnsi="Times New Roman"/>
          <w:b/>
          <w:sz w:val="24"/>
          <w:szCs w:val="24"/>
          <w:lang w:val="ru-RU"/>
        </w:rPr>
        <w:t>02</w:t>
      </w:r>
      <w:r w:rsidR="008E2E6D" w:rsidRPr="008E2E6D">
        <w:rPr>
          <w:rFonts w:ascii="Times New Roman" w:eastAsia="Times New Roman" w:hAnsi="Times New Roman"/>
          <w:b/>
          <w:sz w:val="24"/>
          <w:szCs w:val="24"/>
          <w:lang w:val="ru-RU"/>
        </w:rPr>
        <w:t>-0</w:t>
      </w:r>
      <w:r w:rsidR="00572281">
        <w:rPr>
          <w:rFonts w:ascii="Times New Roman" w:eastAsia="Times New Roman" w:hAnsi="Times New Roman"/>
          <w:b/>
          <w:sz w:val="24"/>
          <w:szCs w:val="24"/>
          <w:lang w:val="ru-RU"/>
        </w:rPr>
        <w:t>0</w:t>
      </w:r>
      <w:r w:rsidR="00C949CF">
        <w:rPr>
          <w:rFonts w:ascii="Times New Roman" w:eastAsia="Times New Roman" w:hAnsi="Times New Roman"/>
          <w:b/>
          <w:sz w:val="24"/>
          <w:szCs w:val="24"/>
          <w:lang w:val="ru-RU"/>
        </w:rPr>
        <w:t>8046</w:t>
      </w:r>
      <w:r w:rsidR="008E2E6D" w:rsidRPr="008E2E6D">
        <w:rPr>
          <w:rFonts w:ascii="Times New Roman" w:eastAsia="Times New Roman" w:hAnsi="Times New Roman"/>
          <w:b/>
          <w:sz w:val="24"/>
          <w:szCs w:val="24"/>
          <w:lang w:val="ru-RU"/>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23F7C703" w14:textId="6840C3EC" w:rsidR="00C949CF" w:rsidRPr="00D94091" w:rsidRDefault="00A93C06" w:rsidP="00C949CF">
      <w:pPr>
        <w:spacing w:before="240"/>
        <w:ind w:firstLine="567"/>
        <w:contextualSpacing/>
        <w:jc w:val="both"/>
        <w:outlineLvl w:val="1"/>
        <w:rPr>
          <w:rFonts w:ascii="Times New Roman" w:eastAsia="Times New Roman" w:hAnsi="Times New Roman"/>
          <w:bCs/>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C949CF">
        <w:rPr>
          <w:rFonts w:ascii="Times New Roman" w:eastAsia="Times New Roman" w:hAnsi="Times New Roman"/>
          <w:sz w:val="24"/>
          <w:szCs w:val="24"/>
        </w:rPr>
        <w:t>421</w:t>
      </w:r>
      <w:r w:rsidR="00B023C1">
        <w:rPr>
          <w:rFonts w:ascii="Times New Roman" w:eastAsia="Times New Roman" w:hAnsi="Times New Roman"/>
          <w:sz w:val="24"/>
          <w:szCs w:val="24"/>
        </w:rPr>
        <w:t> </w:t>
      </w:r>
      <w:r w:rsidR="00C949CF">
        <w:rPr>
          <w:rFonts w:ascii="Times New Roman" w:eastAsia="Times New Roman" w:hAnsi="Times New Roman"/>
          <w:sz w:val="24"/>
          <w:szCs w:val="24"/>
        </w:rPr>
        <w:t>471</w:t>
      </w:r>
      <w:r w:rsidR="00B023C1">
        <w:rPr>
          <w:rFonts w:ascii="Times New Roman" w:eastAsia="Times New Roman" w:hAnsi="Times New Roman"/>
          <w:sz w:val="24"/>
          <w:szCs w:val="24"/>
        </w:rPr>
        <w:t>,00 грн.</w:t>
      </w:r>
      <w:r w:rsidR="00653DDA" w:rsidRPr="00653DDA">
        <w:rPr>
          <w:rFonts w:ascii="Times New Roman" w:eastAsia="Times New Roman" w:hAnsi="Times New Roman"/>
          <w:b/>
          <w:sz w:val="24"/>
          <w:szCs w:val="24"/>
        </w:rPr>
        <w:t xml:space="preserve"> </w:t>
      </w:r>
      <w:r w:rsidR="00C949CF" w:rsidRPr="00D94091">
        <w:rPr>
          <w:rFonts w:ascii="Times New Roman" w:eastAsia="Times New Roman" w:hAnsi="Times New Roman"/>
          <w:bCs/>
          <w:sz w:val="24"/>
          <w:szCs w:val="24"/>
        </w:rPr>
        <w:t>за рахунок грошової допомоги від Дитячого фонду Організації Об’єднаних Націй (ЮНІСЕФ) закладам загальної середньої освіти на 2022/2026 навчальний рік, згідно Постанови КМУ від 19.12.2025 №1713 в сумі 420 000,00 грн. та коштів місцевого бюджету</w:t>
      </w:r>
      <w:r w:rsidR="00D94091" w:rsidRPr="00D94091">
        <w:rPr>
          <w:rFonts w:ascii="Times New Roman" w:eastAsia="Times New Roman" w:hAnsi="Times New Roman"/>
          <w:bCs/>
          <w:sz w:val="24"/>
          <w:szCs w:val="24"/>
        </w:rPr>
        <w:t xml:space="preserve"> в сумі 1 471,00 грн.</w:t>
      </w:r>
    </w:p>
    <w:p w14:paraId="5DFBB687" w14:textId="77777777" w:rsidR="00653DDA" w:rsidRPr="00653DDA" w:rsidRDefault="00653DDA" w:rsidP="00653DDA">
      <w:pPr>
        <w:spacing w:before="240"/>
        <w:ind w:firstLine="567"/>
        <w:contextualSpacing/>
        <w:jc w:val="both"/>
        <w:outlineLvl w:val="1"/>
        <w:rPr>
          <w:rFonts w:ascii="Times New Roman" w:eastAsia="Times New Roman" w:hAnsi="Times New Roman"/>
          <w:b/>
          <w:sz w:val="24"/>
          <w:szCs w:val="24"/>
        </w:rPr>
      </w:pPr>
    </w:p>
    <w:p w14:paraId="0000000B" w14:textId="02ECBB82"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Pr="008E2E6D">
        <w:rPr>
          <w:rFonts w:ascii="Times New Roman" w:eastAsia="Times New Roman" w:hAnsi="Times New Roman"/>
          <w:sz w:val="24"/>
          <w:szCs w:val="24"/>
        </w:rPr>
        <w:t xml:space="preserve"> </w:t>
      </w:r>
      <w:r w:rsidR="00C949CF">
        <w:rPr>
          <w:rFonts w:ascii="Times New Roman" w:eastAsia="Times New Roman" w:hAnsi="Times New Roman"/>
          <w:b/>
          <w:bCs/>
          <w:sz w:val="24"/>
          <w:szCs w:val="24"/>
        </w:rPr>
        <w:t>421</w:t>
      </w:r>
      <w:r w:rsidR="008E2E6D">
        <w:rPr>
          <w:rFonts w:ascii="Times New Roman" w:eastAsia="Times New Roman" w:hAnsi="Times New Roman"/>
          <w:b/>
          <w:sz w:val="24"/>
          <w:szCs w:val="24"/>
        </w:rPr>
        <w:t> </w:t>
      </w:r>
      <w:r w:rsidR="00C949CF">
        <w:rPr>
          <w:rFonts w:ascii="Times New Roman" w:eastAsia="Times New Roman" w:hAnsi="Times New Roman"/>
          <w:b/>
          <w:sz w:val="24"/>
          <w:szCs w:val="24"/>
        </w:rPr>
        <w:t>471</w:t>
      </w:r>
      <w:r w:rsidR="008E2E6D">
        <w:rPr>
          <w:rFonts w:ascii="Times New Roman" w:eastAsia="Times New Roman" w:hAnsi="Times New Roman"/>
          <w:b/>
          <w:sz w:val="24"/>
          <w:szCs w:val="24"/>
        </w:rPr>
        <w:t xml:space="preserve">,00 </w:t>
      </w:r>
      <w:r w:rsidRPr="008E2E6D">
        <w:rPr>
          <w:rFonts w:ascii="Times New Roman" w:eastAsia="Times New Roman" w:hAnsi="Times New Roman"/>
          <w:b/>
          <w:sz w:val="24"/>
          <w:szCs w:val="24"/>
        </w:rPr>
        <w:t>грн.</w:t>
      </w:r>
    </w:p>
    <w:p w14:paraId="223920F6" w14:textId="746EF038" w:rsidR="00CA24FF" w:rsidRPr="008E2E6D" w:rsidRDefault="00CA24FF" w:rsidP="00F46008">
      <w:pPr>
        <w:spacing w:before="100" w:beforeAutospacing="1" w:after="0" w:line="240" w:lineRule="auto"/>
        <w:jc w:val="both"/>
        <w:rPr>
          <w:rFonts w:ascii="Times New Roman" w:eastAsia="Times New Roman" w:hAnsi="Times New Roman"/>
          <w:sz w:val="24"/>
          <w:szCs w:val="24"/>
        </w:rPr>
      </w:pPr>
      <w:r w:rsidRPr="00653DDA">
        <w:rPr>
          <w:rFonts w:ascii="Times New Roman" w:eastAsia="Times New Roman" w:hAnsi="Times New Roman"/>
          <w:sz w:val="24"/>
          <w:szCs w:val="24"/>
        </w:rPr>
        <w:t>Розрахунок очікуваної вартості п</w:t>
      </w:r>
      <w:r w:rsidRPr="00653DDA">
        <w:rPr>
          <w:rFonts w:ascii="Times New Roman" w:hAnsi="Times New Roman"/>
          <w:sz w:val="24"/>
          <w:szCs w:val="24"/>
        </w:rPr>
        <w:t xml:space="preserve">редмета закупівлі визначена підставі </w:t>
      </w:r>
      <w:r w:rsidR="00F46008">
        <w:rPr>
          <w:rFonts w:ascii="Times New Roman" w:hAnsi="Times New Roman"/>
          <w:sz w:val="24"/>
          <w:szCs w:val="24"/>
        </w:rPr>
        <w:t>попередньо проведеного кошторисного розрахунку, де вказаний повний перелік необхідних матеріалів по</w:t>
      </w:r>
      <w:r w:rsidR="00B4465E">
        <w:rPr>
          <w:rFonts w:ascii="Times New Roman" w:hAnsi="Times New Roman"/>
          <w:sz w:val="24"/>
          <w:szCs w:val="24"/>
        </w:rPr>
        <w:t xml:space="preserve"> діючим середньо-ринковим цінам</w:t>
      </w:r>
      <w:r w:rsidR="009304DA">
        <w:rPr>
          <w:rFonts w:ascii="Times New Roman" w:hAnsi="Times New Roman"/>
          <w:sz w:val="24"/>
          <w:szCs w:val="24"/>
        </w:rPr>
        <w:t>.</w:t>
      </w:r>
    </w:p>
    <w:p w14:paraId="03A0C495" w14:textId="77777777" w:rsidR="00CA24FF" w:rsidRDefault="00CA24FF" w:rsidP="00CA24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p>
    <w:p w14:paraId="0000001A" w14:textId="1C01BA33" w:rsidR="00D37701" w:rsidRDefault="00CA24FF">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О</w:t>
      </w:r>
      <w:r w:rsidR="00A93C06" w:rsidRPr="008E2E6D">
        <w:rPr>
          <w:rFonts w:ascii="Times New Roman" w:eastAsia="Times New Roman" w:hAnsi="Times New Roman"/>
          <w:b/>
          <w:sz w:val="24"/>
          <w:szCs w:val="24"/>
        </w:rPr>
        <w:t xml:space="preserve">бґрунтування технічних, якісних характеристик. </w:t>
      </w:r>
    </w:p>
    <w:p w14:paraId="67E8EEF2" w14:textId="77777777" w:rsidR="00D94091" w:rsidRPr="00D94091" w:rsidRDefault="00D94091" w:rsidP="00D94091">
      <w:pPr>
        <w:widowControl w:val="0"/>
        <w:spacing w:after="160" w:line="259" w:lineRule="auto"/>
        <w:contextualSpacing/>
        <w:jc w:val="both"/>
        <w:rPr>
          <w:rFonts w:ascii="Times New Roman" w:eastAsia="Times New Roman" w:hAnsi="Times New Roman"/>
          <w:color w:val="000000"/>
          <w:sz w:val="24"/>
          <w:szCs w:val="24"/>
        </w:rPr>
      </w:pPr>
      <w:r w:rsidRPr="00D94091">
        <w:rPr>
          <w:rFonts w:ascii="Times New Roman" w:eastAsia="Times New Roman" w:hAnsi="Times New Roman"/>
          <w:color w:val="000000"/>
          <w:sz w:val="24"/>
          <w:szCs w:val="24"/>
        </w:rPr>
        <w:t>Місце надання послуги:</w:t>
      </w:r>
    </w:p>
    <w:p w14:paraId="6E23ADFA" w14:textId="77777777" w:rsidR="00D94091" w:rsidRPr="00D94091" w:rsidRDefault="00D94091" w:rsidP="00D94091">
      <w:pPr>
        <w:widowControl w:val="0"/>
        <w:spacing w:after="160" w:line="259" w:lineRule="auto"/>
        <w:ind w:right="120"/>
        <w:jc w:val="both"/>
        <w:rPr>
          <w:rFonts w:ascii="Times New Roman" w:eastAsia="Times New Roman" w:hAnsi="Times New Roman"/>
          <w:sz w:val="24"/>
          <w:szCs w:val="24"/>
          <w:lang w:val="ru-RU" w:eastAsia="ar-SA"/>
        </w:rPr>
      </w:pPr>
      <w:r w:rsidRPr="00D94091">
        <w:rPr>
          <w:rFonts w:ascii="Times New Roman" w:eastAsia="Times New Roman" w:hAnsi="Times New Roman"/>
          <w:sz w:val="24"/>
          <w:szCs w:val="24"/>
          <w:lang w:val="ru-RU" w:eastAsia="ar-SA"/>
        </w:rPr>
        <w:t xml:space="preserve">17100, </w:t>
      </w:r>
      <w:proofErr w:type="spellStart"/>
      <w:r w:rsidRPr="00D94091">
        <w:rPr>
          <w:rFonts w:ascii="Times New Roman" w:eastAsia="Times New Roman" w:hAnsi="Times New Roman"/>
          <w:sz w:val="24"/>
          <w:szCs w:val="24"/>
          <w:lang w:val="ru-RU" w:eastAsia="ar-SA"/>
        </w:rPr>
        <w:t>Україна</w:t>
      </w:r>
      <w:proofErr w:type="spellEnd"/>
      <w:r w:rsidRPr="00D94091">
        <w:rPr>
          <w:rFonts w:ascii="Times New Roman" w:eastAsia="Times New Roman" w:hAnsi="Times New Roman"/>
          <w:sz w:val="24"/>
          <w:szCs w:val="24"/>
          <w:lang w:val="ru-RU" w:eastAsia="ar-SA"/>
        </w:rPr>
        <w:t xml:space="preserve">, </w:t>
      </w:r>
      <w:proofErr w:type="spellStart"/>
      <w:r w:rsidRPr="00D94091">
        <w:rPr>
          <w:rFonts w:ascii="Times New Roman" w:eastAsia="Times New Roman" w:hAnsi="Times New Roman"/>
          <w:sz w:val="24"/>
          <w:szCs w:val="24"/>
          <w:lang w:val="ru-RU" w:eastAsia="ar-SA"/>
        </w:rPr>
        <w:t>Чернігівська</w:t>
      </w:r>
      <w:proofErr w:type="spellEnd"/>
      <w:r w:rsidRPr="00D94091">
        <w:rPr>
          <w:rFonts w:ascii="Times New Roman" w:eastAsia="Times New Roman" w:hAnsi="Times New Roman"/>
          <w:sz w:val="24"/>
          <w:szCs w:val="24"/>
          <w:lang w:val="ru-RU" w:eastAsia="ar-SA"/>
        </w:rPr>
        <w:t xml:space="preserve"> область, м. </w:t>
      </w:r>
      <w:proofErr w:type="spellStart"/>
      <w:r w:rsidRPr="00D94091">
        <w:rPr>
          <w:rFonts w:ascii="Times New Roman" w:eastAsia="Times New Roman" w:hAnsi="Times New Roman"/>
          <w:sz w:val="24"/>
          <w:szCs w:val="24"/>
          <w:lang w:val="ru-RU" w:eastAsia="ar-SA"/>
        </w:rPr>
        <w:t>Носівка</w:t>
      </w:r>
      <w:proofErr w:type="spellEnd"/>
      <w:r w:rsidRPr="00D94091">
        <w:rPr>
          <w:rFonts w:ascii="Times New Roman" w:eastAsia="Times New Roman" w:hAnsi="Times New Roman"/>
          <w:sz w:val="24"/>
          <w:szCs w:val="24"/>
          <w:lang w:val="ru-RU" w:eastAsia="ar-SA"/>
        </w:rPr>
        <w:t xml:space="preserve">, </w:t>
      </w:r>
      <w:proofErr w:type="spellStart"/>
      <w:r w:rsidRPr="00D94091">
        <w:rPr>
          <w:rFonts w:ascii="Times New Roman" w:eastAsia="Times New Roman" w:hAnsi="Times New Roman"/>
          <w:sz w:val="24"/>
          <w:szCs w:val="24"/>
          <w:lang w:val="ru-RU" w:eastAsia="ar-SA"/>
        </w:rPr>
        <w:t>вул</w:t>
      </w:r>
      <w:proofErr w:type="spellEnd"/>
      <w:r w:rsidRPr="00D94091">
        <w:rPr>
          <w:rFonts w:ascii="Times New Roman" w:eastAsia="Times New Roman" w:hAnsi="Times New Roman"/>
          <w:sz w:val="24"/>
          <w:szCs w:val="24"/>
          <w:lang w:val="ru-RU" w:eastAsia="ar-SA"/>
        </w:rPr>
        <w:t xml:space="preserve">. </w:t>
      </w:r>
      <w:proofErr w:type="spellStart"/>
      <w:r w:rsidRPr="00D94091">
        <w:rPr>
          <w:rFonts w:ascii="Times New Roman" w:eastAsia="Times New Roman" w:hAnsi="Times New Roman"/>
          <w:sz w:val="24"/>
          <w:szCs w:val="24"/>
          <w:lang w:val="ru-RU" w:eastAsia="ar-SA"/>
        </w:rPr>
        <w:t>Привітна</w:t>
      </w:r>
      <w:proofErr w:type="spellEnd"/>
      <w:r w:rsidRPr="00D94091">
        <w:rPr>
          <w:rFonts w:ascii="Times New Roman" w:eastAsia="Times New Roman" w:hAnsi="Times New Roman"/>
          <w:sz w:val="24"/>
          <w:szCs w:val="24"/>
          <w:lang w:val="ru-RU" w:eastAsia="ar-SA"/>
        </w:rPr>
        <w:t>, 1а</w:t>
      </w:r>
    </w:p>
    <w:p w14:paraId="69D63785" w14:textId="77777777" w:rsidR="00D94091" w:rsidRPr="00D94091" w:rsidRDefault="00D94091" w:rsidP="00D94091">
      <w:pPr>
        <w:widowControl w:val="0"/>
        <w:spacing w:after="0" w:line="240" w:lineRule="auto"/>
        <w:ind w:right="282"/>
        <w:jc w:val="both"/>
        <w:rPr>
          <w:rFonts w:ascii="Times New Roman" w:hAnsi="Times New Roman"/>
          <w:sz w:val="24"/>
          <w:szCs w:val="24"/>
          <w:lang w:eastAsia="en-US"/>
        </w:rPr>
      </w:pPr>
      <w:r w:rsidRPr="00D94091">
        <w:rPr>
          <w:rFonts w:ascii="Times New Roman" w:hAnsi="Times New Roman"/>
          <w:sz w:val="24"/>
          <w:szCs w:val="24"/>
          <w:lang w:eastAsia="en-US"/>
        </w:rPr>
        <w:t>Строк надання послуги: до 31.05.2026 р.</w:t>
      </w:r>
    </w:p>
    <w:p w14:paraId="3EC4A04F" w14:textId="77777777" w:rsidR="00D94091" w:rsidRPr="00D94091" w:rsidRDefault="00D94091" w:rsidP="00D94091">
      <w:pPr>
        <w:tabs>
          <w:tab w:val="left" w:pos="5280"/>
        </w:tabs>
        <w:spacing w:after="160" w:line="259" w:lineRule="auto"/>
        <w:jc w:val="both"/>
        <w:outlineLvl w:val="0"/>
        <w:rPr>
          <w:rFonts w:ascii="Times New Roman" w:hAnsi="Times New Roman"/>
          <w:b/>
          <w:sz w:val="24"/>
          <w:szCs w:val="24"/>
          <w:lang w:eastAsia="en-US"/>
        </w:rPr>
      </w:pPr>
      <w:r w:rsidRPr="00D94091">
        <w:rPr>
          <w:rFonts w:ascii="Times New Roman" w:hAnsi="Times New Roman"/>
          <w:b/>
          <w:sz w:val="24"/>
          <w:szCs w:val="24"/>
          <w:lang w:eastAsia="en-US"/>
        </w:rPr>
        <w:t>Загальні вимоги до металопластикових віконних конструкцій:</w:t>
      </w:r>
    </w:p>
    <w:p w14:paraId="1846C826" w14:textId="77777777" w:rsidR="00D94091" w:rsidRPr="00D94091" w:rsidRDefault="00D94091" w:rsidP="00D94091">
      <w:pPr>
        <w:numPr>
          <w:ilvl w:val="0"/>
          <w:numId w:val="7"/>
        </w:numPr>
        <w:tabs>
          <w:tab w:val="left" w:pos="284"/>
        </w:tabs>
        <w:suppressAutoHyphens/>
        <w:spacing w:after="0" w:line="240" w:lineRule="auto"/>
        <w:ind w:left="0" w:firstLine="0"/>
        <w:jc w:val="both"/>
        <w:outlineLvl w:val="0"/>
        <w:rPr>
          <w:rFonts w:ascii="Times New Roman" w:hAnsi="Times New Roman"/>
          <w:sz w:val="24"/>
          <w:szCs w:val="24"/>
          <w:lang w:eastAsia="en-US"/>
        </w:rPr>
      </w:pPr>
      <w:r w:rsidRPr="00D94091">
        <w:rPr>
          <w:rFonts w:ascii="Times New Roman" w:hAnsi="Times New Roman"/>
          <w:sz w:val="24"/>
          <w:szCs w:val="24"/>
          <w:lang w:eastAsia="en-US"/>
        </w:rPr>
        <w:t>Профіль: 5-ти камерний; монтажна ширина – не менше 70 мм; товщина зовнішньої стінки – не менше 2,7 мм; армування в рамі – не менше 1,5 мм, в стулці – не менше 1,5 мм, імпост – не менше 1,5 мм; колір – білий.</w:t>
      </w:r>
    </w:p>
    <w:p w14:paraId="6E791E49" w14:textId="77777777" w:rsidR="00D94091" w:rsidRPr="00D94091" w:rsidRDefault="00D94091" w:rsidP="00D94091">
      <w:pPr>
        <w:numPr>
          <w:ilvl w:val="0"/>
          <w:numId w:val="7"/>
        </w:numPr>
        <w:tabs>
          <w:tab w:val="left" w:pos="284"/>
        </w:tabs>
        <w:suppressAutoHyphens/>
        <w:spacing w:after="0" w:line="240" w:lineRule="auto"/>
        <w:ind w:left="0" w:firstLine="0"/>
        <w:jc w:val="both"/>
        <w:outlineLvl w:val="0"/>
        <w:rPr>
          <w:rFonts w:ascii="Times New Roman" w:hAnsi="Times New Roman"/>
          <w:sz w:val="24"/>
          <w:szCs w:val="24"/>
          <w:lang w:eastAsia="en-US"/>
        </w:rPr>
      </w:pPr>
      <w:r w:rsidRPr="00D94091">
        <w:rPr>
          <w:rFonts w:ascii="Times New Roman" w:hAnsi="Times New Roman"/>
          <w:sz w:val="24"/>
          <w:szCs w:val="24"/>
          <w:lang w:eastAsia="en-US"/>
        </w:rPr>
        <w:t xml:space="preserve">Склопакет: 4i-14ar-4-14ar-4i; двокамерний; енергозберігаючий; ширина – не менше 40 мм. </w:t>
      </w:r>
    </w:p>
    <w:p w14:paraId="378BD779" w14:textId="77777777" w:rsidR="00D94091" w:rsidRPr="00D94091" w:rsidRDefault="00D94091" w:rsidP="00D94091">
      <w:pPr>
        <w:numPr>
          <w:ilvl w:val="0"/>
          <w:numId w:val="7"/>
        </w:numPr>
        <w:tabs>
          <w:tab w:val="left" w:pos="284"/>
        </w:tabs>
        <w:suppressAutoHyphens/>
        <w:spacing w:after="0" w:line="240" w:lineRule="auto"/>
        <w:ind w:left="0" w:firstLine="0"/>
        <w:jc w:val="both"/>
        <w:outlineLvl w:val="0"/>
        <w:rPr>
          <w:rFonts w:ascii="Times New Roman" w:hAnsi="Times New Roman"/>
          <w:sz w:val="24"/>
          <w:szCs w:val="24"/>
          <w:lang w:eastAsia="en-US"/>
        </w:rPr>
      </w:pPr>
      <w:r w:rsidRPr="00D94091">
        <w:rPr>
          <w:rFonts w:ascii="Times New Roman" w:hAnsi="Times New Roman"/>
          <w:sz w:val="24"/>
          <w:szCs w:val="24"/>
          <w:lang w:eastAsia="en-US"/>
        </w:rPr>
        <w:t>Опір теплопередачі віконного блоку: не менше 0,90 м</w:t>
      </w:r>
      <w:r w:rsidRPr="00D94091">
        <w:rPr>
          <w:rFonts w:ascii="Times New Roman" w:hAnsi="Times New Roman"/>
          <w:sz w:val="24"/>
          <w:szCs w:val="24"/>
          <w:vertAlign w:val="superscript"/>
          <w:lang w:eastAsia="en-US"/>
        </w:rPr>
        <w:t>2</w:t>
      </w:r>
      <w:r w:rsidRPr="00D94091">
        <w:rPr>
          <w:rFonts w:ascii="Times New Roman" w:hAnsi="Times New Roman"/>
          <w:sz w:val="24"/>
          <w:szCs w:val="24"/>
          <w:lang w:eastAsia="en-US"/>
        </w:rPr>
        <w:t xml:space="preserve"> С/Вт.</w:t>
      </w:r>
    </w:p>
    <w:p w14:paraId="0AD607AA" w14:textId="77777777" w:rsidR="00D94091" w:rsidRPr="00D94091" w:rsidRDefault="00D94091" w:rsidP="00D94091">
      <w:pPr>
        <w:spacing w:after="0" w:line="259" w:lineRule="auto"/>
        <w:ind w:firstLine="284"/>
        <w:contextualSpacing/>
        <w:jc w:val="both"/>
        <w:rPr>
          <w:rFonts w:ascii="Times New Roman" w:hAnsi="Times New Roman"/>
          <w:sz w:val="24"/>
          <w:szCs w:val="24"/>
          <w:lang w:eastAsia="en-US"/>
        </w:rPr>
      </w:pPr>
      <w:r w:rsidRPr="00D94091">
        <w:rPr>
          <w:rFonts w:ascii="Times New Roman" w:hAnsi="Times New Roman"/>
          <w:sz w:val="24"/>
          <w:szCs w:val="24"/>
          <w:lang w:eastAsia="en-US"/>
        </w:rPr>
        <w:lastRenderedPageBreak/>
        <w:t xml:space="preserve">Фурнітура віконна: стальна, цільна, жорстка; механізм відкривання </w:t>
      </w:r>
      <w:proofErr w:type="spellStart"/>
      <w:r w:rsidRPr="00D94091">
        <w:rPr>
          <w:rFonts w:ascii="Times New Roman" w:hAnsi="Times New Roman"/>
          <w:sz w:val="24"/>
          <w:szCs w:val="24"/>
          <w:lang w:eastAsia="en-US"/>
        </w:rPr>
        <w:t>нахильно</w:t>
      </w:r>
      <w:proofErr w:type="spellEnd"/>
      <w:r w:rsidRPr="00D94091">
        <w:rPr>
          <w:rFonts w:ascii="Times New Roman" w:hAnsi="Times New Roman"/>
          <w:sz w:val="24"/>
          <w:szCs w:val="24"/>
          <w:lang w:eastAsia="en-US"/>
        </w:rPr>
        <w:t>-поворотний, жорсткий, витримуючий масу 90-120 кг. Фурнітура повинна забезпечувати якісне, надійне та довговічне відкривання-закривання.</w:t>
      </w:r>
    </w:p>
    <w:p w14:paraId="1814FDCD" w14:textId="77777777" w:rsidR="00D94091" w:rsidRPr="00D94091" w:rsidRDefault="00D94091" w:rsidP="00D94091">
      <w:pPr>
        <w:shd w:val="clear" w:color="auto" w:fill="FFFFFF"/>
        <w:tabs>
          <w:tab w:val="left" w:pos="426"/>
        </w:tabs>
        <w:spacing w:after="0" w:line="240" w:lineRule="auto"/>
        <w:contextualSpacing/>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Конфігурації блоків віконних метало пластикових: </w:t>
      </w:r>
    </w:p>
    <w:p w14:paraId="785971CB" w14:textId="77777777" w:rsidR="00D94091" w:rsidRPr="00D94091" w:rsidRDefault="00D94091" w:rsidP="00D94091">
      <w:pPr>
        <w:shd w:val="clear" w:color="auto" w:fill="FFFFFF"/>
        <w:tabs>
          <w:tab w:val="left" w:pos="426"/>
        </w:tabs>
        <w:spacing w:after="0" w:line="240" w:lineRule="auto"/>
        <w:contextualSpacing/>
        <w:jc w:val="both"/>
        <w:rPr>
          <w:rFonts w:ascii="Times New Roman" w:eastAsia="Times New Roman" w:hAnsi="Times New Roman"/>
          <w:sz w:val="24"/>
          <w:szCs w:val="24"/>
          <w:lang w:eastAsia="en-US"/>
        </w:rPr>
      </w:pPr>
    </w:p>
    <w:tbl>
      <w:tblPr>
        <w:tblStyle w:val="a8"/>
        <w:tblW w:w="0" w:type="auto"/>
        <w:tblInd w:w="108" w:type="dxa"/>
        <w:tblLook w:val="04A0" w:firstRow="1" w:lastRow="0" w:firstColumn="1" w:lastColumn="0" w:noHBand="0" w:noVBand="1"/>
      </w:tblPr>
      <w:tblGrid>
        <w:gridCol w:w="9519"/>
      </w:tblGrid>
      <w:tr w:rsidR="00D94091" w:rsidRPr="00D94091" w14:paraId="3FE1E6A6" w14:textId="77777777" w:rsidTr="002F74C1">
        <w:tc>
          <w:tcPr>
            <w:tcW w:w="9923" w:type="dxa"/>
          </w:tcPr>
          <w:p w14:paraId="1A6F6E29" w14:textId="77777777" w:rsidR="00D94091" w:rsidRPr="00D94091" w:rsidRDefault="00D94091" w:rsidP="00D94091">
            <w:pPr>
              <w:tabs>
                <w:tab w:val="left" w:pos="426"/>
              </w:tabs>
              <w:contextualSpacing/>
              <w:jc w:val="center"/>
              <w:rPr>
                <w:rFonts w:eastAsia="Times New Roman"/>
                <w:b/>
                <w:sz w:val="24"/>
                <w:szCs w:val="24"/>
                <w:lang w:eastAsia="en-US"/>
              </w:rPr>
            </w:pPr>
            <w:proofErr w:type="spellStart"/>
            <w:r w:rsidRPr="00D94091">
              <w:rPr>
                <w:rFonts w:eastAsia="Times New Roman"/>
                <w:b/>
                <w:sz w:val="24"/>
                <w:szCs w:val="24"/>
                <w:lang w:eastAsia="en-US"/>
              </w:rPr>
              <w:t>Конфігурації</w:t>
            </w:r>
            <w:proofErr w:type="spellEnd"/>
            <w:r w:rsidRPr="00D94091">
              <w:rPr>
                <w:rFonts w:eastAsia="Times New Roman"/>
                <w:b/>
                <w:sz w:val="24"/>
                <w:szCs w:val="24"/>
                <w:lang w:eastAsia="en-US"/>
              </w:rPr>
              <w:t xml:space="preserve"> (</w:t>
            </w:r>
            <w:proofErr w:type="spellStart"/>
            <w:r w:rsidRPr="00D94091">
              <w:rPr>
                <w:rFonts w:eastAsia="Times New Roman"/>
                <w:b/>
                <w:sz w:val="24"/>
                <w:szCs w:val="24"/>
                <w:lang w:eastAsia="en-US"/>
              </w:rPr>
              <w:t>габарити</w:t>
            </w:r>
            <w:proofErr w:type="spellEnd"/>
            <w:r w:rsidRPr="00D94091">
              <w:rPr>
                <w:rFonts w:eastAsia="Times New Roman"/>
                <w:b/>
                <w:sz w:val="24"/>
                <w:szCs w:val="24"/>
                <w:lang w:eastAsia="en-US"/>
              </w:rPr>
              <w:t xml:space="preserve"> </w:t>
            </w:r>
            <w:proofErr w:type="spellStart"/>
            <w:r w:rsidRPr="00D94091">
              <w:rPr>
                <w:rFonts w:eastAsia="Times New Roman"/>
                <w:b/>
                <w:sz w:val="24"/>
                <w:szCs w:val="24"/>
                <w:lang w:eastAsia="en-US"/>
              </w:rPr>
              <w:t>орієнтовні</w:t>
            </w:r>
            <w:proofErr w:type="spellEnd"/>
            <w:r w:rsidRPr="00D94091">
              <w:rPr>
                <w:rFonts w:eastAsia="Times New Roman"/>
                <w:b/>
                <w:sz w:val="24"/>
                <w:szCs w:val="24"/>
                <w:lang w:eastAsia="en-US"/>
              </w:rPr>
              <w:t>)</w:t>
            </w:r>
          </w:p>
        </w:tc>
      </w:tr>
      <w:tr w:rsidR="00D94091" w:rsidRPr="00D94091" w14:paraId="68A696CF" w14:textId="77777777" w:rsidTr="002F74C1">
        <w:tc>
          <w:tcPr>
            <w:tcW w:w="9923" w:type="dxa"/>
            <w:vAlign w:val="center"/>
          </w:tcPr>
          <w:p w14:paraId="585A3A48" w14:textId="77777777" w:rsidR="00D94091" w:rsidRPr="00D94091" w:rsidRDefault="00D94091" w:rsidP="00D94091">
            <w:pPr>
              <w:tabs>
                <w:tab w:val="left" w:pos="426"/>
              </w:tabs>
              <w:contextualSpacing/>
              <w:jc w:val="center"/>
              <w:rPr>
                <w:rFonts w:eastAsia="Times New Roman"/>
                <w:sz w:val="24"/>
                <w:szCs w:val="24"/>
                <w:lang w:eastAsia="en-US"/>
              </w:rPr>
            </w:pPr>
            <w:r w:rsidRPr="00D94091">
              <w:rPr>
                <w:noProof/>
              </w:rPr>
              <w:drawing>
                <wp:inline distT="0" distB="0" distL="0" distR="0" wp14:anchorId="068795ED" wp14:editId="1A8F597A">
                  <wp:extent cx="2444290" cy="1590062"/>
                  <wp:effectExtent l="0" t="0" r="0" b="0"/>
                  <wp:docPr id="3" name="Рисунок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0000000-0008-0000-0000-000003000000}"/>
                              </a:ext>
                            </a:extLst>
                          </pic:cNvPr>
                          <pic:cNvPicPr>
                            <a:picLocks/>
                          </pic:cNvPicPr>
                        </pic:nvPicPr>
                        <pic:blipFill>
                          <a:blip r:embed="rId7" r:link="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44290" cy="1590062"/>
                          </a:xfrm>
                          <a:prstGeom prst="rect">
                            <a:avLst/>
                          </a:prstGeom>
                          <a:noFill/>
                        </pic:spPr>
                      </pic:pic>
                    </a:graphicData>
                  </a:graphic>
                </wp:inline>
              </w:drawing>
            </w:r>
          </w:p>
          <w:p w14:paraId="187ABD0B" w14:textId="77777777" w:rsidR="00D94091" w:rsidRPr="00D94091" w:rsidRDefault="00D94091" w:rsidP="00D94091">
            <w:pPr>
              <w:tabs>
                <w:tab w:val="left" w:pos="426"/>
              </w:tabs>
              <w:contextualSpacing/>
              <w:jc w:val="center"/>
              <w:rPr>
                <w:rFonts w:eastAsia="Times New Roman"/>
                <w:sz w:val="24"/>
                <w:szCs w:val="24"/>
                <w:lang w:eastAsia="en-US"/>
              </w:rPr>
            </w:pPr>
            <w:proofErr w:type="spellStart"/>
            <w:r w:rsidRPr="00D94091">
              <w:rPr>
                <w:b/>
                <w:bCs/>
                <w:color w:val="000000"/>
                <w:sz w:val="24"/>
                <w:szCs w:val="24"/>
                <w:lang w:eastAsia="en-US"/>
              </w:rPr>
              <w:t>Вікно</w:t>
            </w:r>
            <w:proofErr w:type="spellEnd"/>
            <w:r w:rsidRPr="00D94091">
              <w:rPr>
                <w:b/>
                <w:bCs/>
                <w:color w:val="000000"/>
                <w:sz w:val="24"/>
                <w:szCs w:val="24"/>
                <w:lang w:eastAsia="en-US"/>
              </w:rPr>
              <w:t xml:space="preserve"> №1: 2170*1940 – 7 штук</w:t>
            </w:r>
            <w:r w:rsidRPr="00D94091">
              <w:rPr>
                <w:color w:val="000000"/>
                <w:sz w:val="24"/>
                <w:szCs w:val="24"/>
                <w:lang w:eastAsia="en-US"/>
              </w:rPr>
              <w:t xml:space="preserve"> (</w:t>
            </w:r>
            <w:proofErr w:type="spellStart"/>
            <w:r w:rsidRPr="00D94091">
              <w:rPr>
                <w:color w:val="000000"/>
                <w:sz w:val="24"/>
                <w:szCs w:val="24"/>
                <w:lang w:eastAsia="en-US"/>
              </w:rPr>
              <w:t>точний</w:t>
            </w:r>
            <w:proofErr w:type="spellEnd"/>
            <w:r w:rsidRPr="00D94091">
              <w:rPr>
                <w:color w:val="000000"/>
                <w:sz w:val="24"/>
                <w:szCs w:val="24"/>
                <w:lang w:eastAsia="en-US"/>
              </w:rPr>
              <w:t xml:space="preserve"> </w:t>
            </w:r>
            <w:proofErr w:type="spellStart"/>
            <w:r w:rsidRPr="00D94091">
              <w:rPr>
                <w:color w:val="000000"/>
                <w:sz w:val="24"/>
                <w:szCs w:val="24"/>
                <w:lang w:eastAsia="en-US"/>
              </w:rPr>
              <w:t>розмір</w:t>
            </w:r>
            <w:proofErr w:type="spellEnd"/>
            <w:r w:rsidRPr="00D94091">
              <w:rPr>
                <w:color w:val="000000"/>
                <w:sz w:val="24"/>
                <w:szCs w:val="24"/>
                <w:lang w:eastAsia="en-US"/>
              </w:rPr>
              <w:t xml:space="preserve"> та сторону </w:t>
            </w:r>
            <w:proofErr w:type="spellStart"/>
            <w:r w:rsidRPr="00D94091">
              <w:rPr>
                <w:color w:val="000000"/>
                <w:sz w:val="24"/>
                <w:szCs w:val="24"/>
                <w:lang w:eastAsia="en-US"/>
              </w:rPr>
              <w:t>відкривання</w:t>
            </w:r>
            <w:proofErr w:type="spellEnd"/>
            <w:r w:rsidRPr="00D94091">
              <w:rPr>
                <w:color w:val="000000"/>
                <w:sz w:val="24"/>
                <w:szCs w:val="24"/>
                <w:lang w:eastAsia="en-US"/>
              </w:rPr>
              <w:t xml:space="preserve"> </w:t>
            </w:r>
            <w:proofErr w:type="spellStart"/>
            <w:r w:rsidRPr="00D94091">
              <w:rPr>
                <w:color w:val="000000"/>
                <w:sz w:val="24"/>
                <w:szCs w:val="24"/>
                <w:lang w:eastAsia="en-US"/>
              </w:rPr>
              <w:t>уточнити</w:t>
            </w:r>
            <w:proofErr w:type="spellEnd"/>
            <w:r w:rsidRPr="00D94091">
              <w:rPr>
                <w:color w:val="000000"/>
                <w:sz w:val="24"/>
                <w:szCs w:val="24"/>
                <w:lang w:eastAsia="en-US"/>
              </w:rPr>
              <w:t xml:space="preserve"> по </w:t>
            </w:r>
            <w:proofErr w:type="spellStart"/>
            <w:r w:rsidRPr="00D94091">
              <w:rPr>
                <w:color w:val="000000"/>
                <w:sz w:val="24"/>
                <w:szCs w:val="24"/>
                <w:lang w:eastAsia="en-US"/>
              </w:rPr>
              <w:t>місцю</w:t>
            </w:r>
            <w:proofErr w:type="spellEnd"/>
            <w:r w:rsidRPr="00D94091">
              <w:rPr>
                <w:color w:val="000000"/>
                <w:sz w:val="24"/>
                <w:szCs w:val="24"/>
                <w:lang w:eastAsia="en-US"/>
              </w:rPr>
              <w:t xml:space="preserve"> </w:t>
            </w:r>
            <w:proofErr w:type="spellStart"/>
            <w:r w:rsidRPr="00D94091">
              <w:rPr>
                <w:color w:val="000000"/>
                <w:sz w:val="24"/>
                <w:szCs w:val="24"/>
                <w:lang w:eastAsia="en-US"/>
              </w:rPr>
              <w:t>надання</w:t>
            </w:r>
            <w:proofErr w:type="spellEnd"/>
            <w:r w:rsidRPr="00D94091">
              <w:rPr>
                <w:color w:val="000000"/>
                <w:sz w:val="24"/>
                <w:szCs w:val="24"/>
                <w:lang w:eastAsia="en-US"/>
              </w:rPr>
              <w:t xml:space="preserve"> </w:t>
            </w:r>
            <w:proofErr w:type="spellStart"/>
            <w:r w:rsidRPr="00D94091">
              <w:rPr>
                <w:color w:val="000000"/>
                <w:sz w:val="24"/>
                <w:szCs w:val="24"/>
                <w:lang w:eastAsia="en-US"/>
              </w:rPr>
              <w:t>послуг</w:t>
            </w:r>
            <w:proofErr w:type="spellEnd"/>
            <w:r w:rsidRPr="00D94091">
              <w:rPr>
                <w:color w:val="000000"/>
                <w:sz w:val="24"/>
                <w:szCs w:val="24"/>
                <w:lang w:eastAsia="en-US"/>
              </w:rPr>
              <w:t>)</w:t>
            </w:r>
          </w:p>
          <w:p w14:paraId="37B2FD27" w14:textId="77777777" w:rsidR="00D94091" w:rsidRPr="00D94091" w:rsidRDefault="00D94091" w:rsidP="00D94091">
            <w:pPr>
              <w:tabs>
                <w:tab w:val="left" w:pos="426"/>
              </w:tabs>
              <w:contextualSpacing/>
              <w:jc w:val="center"/>
              <w:rPr>
                <w:rFonts w:eastAsia="Times New Roman"/>
                <w:sz w:val="24"/>
                <w:szCs w:val="24"/>
                <w:lang w:eastAsia="en-US"/>
              </w:rPr>
            </w:pPr>
          </w:p>
        </w:tc>
      </w:tr>
      <w:tr w:rsidR="00D94091" w:rsidRPr="00D94091" w14:paraId="2C7C4749" w14:textId="77777777" w:rsidTr="002F74C1">
        <w:tc>
          <w:tcPr>
            <w:tcW w:w="9923" w:type="dxa"/>
            <w:vAlign w:val="center"/>
          </w:tcPr>
          <w:p w14:paraId="59F474A4" w14:textId="77777777" w:rsidR="00D94091" w:rsidRPr="00D94091" w:rsidRDefault="00D94091" w:rsidP="00D94091">
            <w:pPr>
              <w:tabs>
                <w:tab w:val="left" w:pos="426"/>
              </w:tabs>
              <w:contextualSpacing/>
              <w:jc w:val="center"/>
              <w:rPr>
                <w:rFonts w:eastAsia="Times New Roman"/>
                <w:sz w:val="24"/>
                <w:szCs w:val="24"/>
                <w:lang w:eastAsia="en-US"/>
              </w:rPr>
            </w:pPr>
            <w:r w:rsidRPr="00D94091">
              <w:rPr>
                <w:noProof/>
              </w:rPr>
              <w:drawing>
                <wp:inline distT="0" distB="0" distL="0" distR="0" wp14:anchorId="08684F87" wp14:editId="24BF95FB">
                  <wp:extent cx="2444290" cy="1590062"/>
                  <wp:effectExtent l="0" t="0" r="0" b="0"/>
                  <wp:docPr id="4" name="Рисунок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00000000-0008-0000-0000-000004000000}"/>
                              </a:ext>
                            </a:extLst>
                          </pic:cNvPr>
                          <pic:cNvPicPr>
                            <a:picLocks/>
                          </pic:cNvPicPr>
                        </pic:nvPicPr>
                        <pic:blipFill>
                          <a:blip r:embed="rId9" r:link="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44290" cy="1590062"/>
                          </a:xfrm>
                          <a:prstGeom prst="rect">
                            <a:avLst/>
                          </a:prstGeom>
                          <a:noFill/>
                          <a:extLst>
                            <a:ext uri="{909E8E84-426E-40DD-AFC4-6F175D3DCCD1}">
                              <a14:hiddenFill xmlns:a14="http://schemas.microsoft.com/office/drawing/2010/main">
                                <a:solidFill>
                                  <a:scrgbClr r="0" g="0" b="0">
                                    <a:alpha val="0"/>
                                  </a:scrgbClr>
                                </a:solidFill>
                              </a14:hiddenFill>
                            </a:ext>
                          </a:extLst>
                        </pic:spPr>
                      </pic:pic>
                    </a:graphicData>
                  </a:graphic>
                </wp:inline>
              </w:drawing>
            </w:r>
          </w:p>
          <w:p w14:paraId="122B9192" w14:textId="77777777" w:rsidR="00D94091" w:rsidRPr="00D94091" w:rsidRDefault="00D94091" w:rsidP="00D94091">
            <w:pPr>
              <w:tabs>
                <w:tab w:val="left" w:pos="426"/>
              </w:tabs>
              <w:contextualSpacing/>
              <w:jc w:val="center"/>
              <w:rPr>
                <w:rFonts w:eastAsia="Times New Roman"/>
                <w:sz w:val="24"/>
                <w:szCs w:val="24"/>
                <w:lang w:eastAsia="en-US"/>
              </w:rPr>
            </w:pPr>
            <w:proofErr w:type="spellStart"/>
            <w:r w:rsidRPr="00D94091">
              <w:rPr>
                <w:b/>
                <w:bCs/>
                <w:color w:val="000000"/>
                <w:sz w:val="24"/>
                <w:szCs w:val="24"/>
                <w:lang w:eastAsia="en-US"/>
              </w:rPr>
              <w:t>Вікно</w:t>
            </w:r>
            <w:proofErr w:type="spellEnd"/>
            <w:r w:rsidRPr="00D94091">
              <w:rPr>
                <w:b/>
                <w:bCs/>
                <w:color w:val="000000"/>
                <w:sz w:val="24"/>
                <w:szCs w:val="24"/>
                <w:lang w:eastAsia="en-US"/>
              </w:rPr>
              <w:t xml:space="preserve"> №2: 2170*1940 – 9 штук</w:t>
            </w:r>
            <w:r w:rsidRPr="00D94091">
              <w:rPr>
                <w:color w:val="000000"/>
                <w:sz w:val="24"/>
                <w:szCs w:val="24"/>
                <w:lang w:eastAsia="en-US"/>
              </w:rPr>
              <w:t xml:space="preserve"> (</w:t>
            </w:r>
            <w:proofErr w:type="spellStart"/>
            <w:r w:rsidRPr="00D94091">
              <w:rPr>
                <w:color w:val="000000"/>
                <w:sz w:val="24"/>
                <w:szCs w:val="24"/>
                <w:lang w:eastAsia="en-US"/>
              </w:rPr>
              <w:t>точний</w:t>
            </w:r>
            <w:proofErr w:type="spellEnd"/>
            <w:r w:rsidRPr="00D94091">
              <w:rPr>
                <w:color w:val="000000"/>
                <w:sz w:val="24"/>
                <w:szCs w:val="24"/>
                <w:lang w:eastAsia="en-US"/>
              </w:rPr>
              <w:t xml:space="preserve"> </w:t>
            </w:r>
            <w:proofErr w:type="spellStart"/>
            <w:r w:rsidRPr="00D94091">
              <w:rPr>
                <w:color w:val="000000"/>
                <w:sz w:val="24"/>
                <w:szCs w:val="24"/>
                <w:lang w:eastAsia="en-US"/>
              </w:rPr>
              <w:t>розмір</w:t>
            </w:r>
            <w:proofErr w:type="spellEnd"/>
            <w:r w:rsidRPr="00D94091">
              <w:rPr>
                <w:color w:val="000000"/>
                <w:sz w:val="24"/>
                <w:szCs w:val="24"/>
                <w:lang w:eastAsia="en-US"/>
              </w:rPr>
              <w:t xml:space="preserve"> </w:t>
            </w:r>
            <w:proofErr w:type="spellStart"/>
            <w:r w:rsidRPr="00D94091">
              <w:rPr>
                <w:color w:val="000000"/>
                <w:sz w:val="24"/>
                <w:szCs w:val="24"/>
                <w:lang w:eastAsia="en-US"/>
              </w:rPr>
              <w:t>уточнити</w:t>
            </w:r>
            <w:proofErr w:type="spellEnd"/>
            <w:r w:rsidRPr="00D94091">
              <w:rPr>
                <w:color w:val="000000"/>
                <w:sz w:val="24"/>
                <w:szCs w:val="24"/>
                <w:lang w:eastAsia="en-US"/>
              </w:rPr>
              <w:t xml:space="preserve"> по </w:t>
            </w:r>
            <w:proofErr w:type="spellStart"/>
            <w:r w:rsidRPr="00D94091">
              <w:rPr>
                <w:color w:val="000000"/>
                <w:sz w:val="24"/>
                <w:szCs w:val="24"/>
                <w:lang w:eastAsia="en-US"/>
              </w:rPr>
              <w:t>місцю</w:t>
            </w:r>
            <w:proofErr w:type="spellEnd"/>
            <w:r w:rsidRPr="00D94091">
              <w:rPr>
                <w:color w:val="000000"/>
                <w:sz w:val="24"/>
                <w:szCs w:val="24"/>
                <w:lang w:eastAsia="en-US"/>
              </w:rPr>
              <w:t xml:space="preserve"> </w:t>
            </w:r>
            <w:proofErr w:type="spellStart"/>
            <w:r w:rsidRPr="00D94091">
              <w:rPr>
                <w:color w:val="000000"/>
                <w:sz w:val="24"/>
                <w:szCs w:val="24"/>
                <w:lang w:eastAsia="en-US"/>
              </w:rPr>
              <w:t>надання</w:t>
            </w:r>
            <w:proofErr w:type="spellEnd"/>
            <w:r w:rsidRPr="00D94091">
              <w:rPr>
                <w:color w:val="000000"/>
                <w:sz w:val="24"/>
                <w:szCs w:val="24"/>
                <w:lang w:eastAsia="en-US"/>
              </w:rPr>
              <w:t xml:space="preserve"> </w:t>
            </w:r>
            <w:proofErr w:type="spellStart"/>
            <w:r w:rsidRPr="00D94091">
              <w:rPr>
                <w:color w:val="000000"/>
                <w:sz w:val="24"/>
                <w:szCs w:val="24"/>
                <w:lang w:eastAsia="en-US"/>
              </w:rPr>
              <w:t>послуг</w:t>
            </w:r>
            <w:proofErr w:type="spellEnd"/>
            <w:r w:rsidRPr="00D94091">
              <w:rPr>
                <w:color w:val="000000"/>
                <w:sz w:val="24"/>
                <w:szCs w:val="24"/>
                <w:lang w:eastAsia="en-US"/>
              </w:rPr>
              <w:t>)</w:t>
            </w:r>
          </w:p>
        </w:tc>
      </w:tr>
    </w:tbl>
    <w:p w14:paraId="36C78CAB" w14:textId="77777777" w:rsidR="00D94091" w:rsidRPr="00D94091" w:rsidRDefault="00D94091" w:rsidP="00D94091">
      <w:pPr>
        <w:shd w:val="clear" w:color="auto" w:fill="FFFFFF"/>
        <w:tabs>
          <w:tab w:val="left" w:pos="426"/>
        </w:tabs>
        <w:spacing w:after="0" w:line="240" w:lineRule="auto"/>
        <w:contextualSpacing/>
        <w:jc w:val="both"/>
        <w:rPr>
          <w:rFonts w:ascii="Times New Roman" w:eastAsia="Times New Roman" w:hAnsi="Times New Roman"/>
          <w:sz w:val="24"/>
          <w:szCs w:val="24"/>
          <w:highlight w:val="yellow"/>
          <w:lang w:eastAsia="en-US"/>
        </w:rPr>
      </w:pPr>
    </w:p>
    <w:p w14:paraId="206C4B19" w14:textId="77777777" w:rsidR="00D94091" w:rsidRPr="00D94091" w:rsidRDefault="00D94091" w:rsidP="00D94091">
      <w:pPr>
        <w:tabs>
          <w:tab w:val="left" w:pos="567"/>
          <w:tab w:val="left" w:pos="5280"/>
        </w:tabs>
        <w:spacing w:after="160" w:line="259" w:lineRule="auto"/>
        <w:ind w:firstLine="567"/>
        <w:jc w:val="both"/>
        <w:outlineLvl w:val="0"/>
        <w:rPr>
          <w:rFonts w:ascii="Times New Roman" w:hAnsi="Times New Roman"/>
          <w:b/>
          <w:sz w:val="24"/>
          <w:szCs w:val="24"/>
          <w:lang w:eastAsia="en-US"/>
        </w:rPr>
      </w:pPr>
      <w:r w:rsidRPr="00D94091">
        <w:rPr>
          <w:rFonts w:ascii="Times New Roman" w:hAnsi="Times New Roman"/>
          <w:b/>
          <w:sz w:val="24"/>
          <w:szCs w:val="24"/>
          <w:lang w:eastAsia="en-US"/>
        </w:rPr>
        <w:t>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14:paraId="7589C2CA" w14:textId="77777777" w:rsidR="00D94091" w:rsidRPr="00D94091" w:rsidRDefault="00D94091" w:rsidP="00D94091">
      <w:pPr>
        <w:tabs>
          <w:tab w:val="left" w:pos="5280"/>
        </w:tabs>
        <w:spacing w:after="160" w:line="259" w:lineRule="auto"/>
        <w:jc w:val="both"/>
        <w:outlineLvl w:val="0"/>
        <w:rPr>
          <w:rFonts w:ascii="Times New Roman" w:hAnsi="Times New Roman"/>
          <w:b/>
          <w:sz w:val="16"/>
          <w:szCs w:val="16"/>
          <w:lang w:eastAsia="en-US"/>
        </w:rPr>
      </w:pPr>
    </w:p>
    <w:p w14:paraId="4102AEE0"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Послуги повинні бути надані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послуг з поточного ремонту; матеріальні ресурси, що використовуються для їх виконання, повинні відповідати вимогам нормативно-правових актів і нормативним документам у галузі будівництва. Еквівалентні матеріальні ресурси (в тому числі обладнання/устаткування/конструкції) повинні бути відповідної (не гіршої) якості та з відповідними характеристиками, що забезпечать досягнення визначених у документації показників.</w:t>
      </w:r>
    </w:p>
    <w:p w14:paraId="1EFBAC02"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Гарантійний термін на надані послуги повинен становити не менше встановлених норм, а гарантійний термін експлуатації металопластикових віконних конструкцій – не менше 5 років з дати підписання акту приймання виконаних будівельних робіт/наданих послуг.</w:t>
      </w:r>
    </w:p>
    <w:p w14:paraId="38027A08"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 xml:space="preserve">Учасник має право відвідати та оглянути об’єкт, де передбачається надання послуг згідно предмету закупівлі, а також отримати інформацію, яка може бути йому необхідна для підготовки тендерної пропозиції. Витрати на відвідування об’єкту Учасник несе за власні </w:t>
      </w:r>
      <w:r w:rsidRPr="00D94091">
        <w:rPr>
          <w:rFonts w:ascii="Times New Roman" w:hAnsi="Times New Roman"/>
          <w:sz w:val="24"/>
          <w:szCs w:val="24"/>
          <w:lang w:eastAsia="en-US"/>
        </w:rPr>
        <w:lastRenderedPageBreak/>
        <w:t>кошти. При цьому Замовник не несе відповідальності за будь-які майнові та немайнові ризики, пов’язані з ознайомлювальною поїздкою.</w:t>
      </w:r>
    </w:p>
    <w:p w14:paraId="52104C50"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Під час надання послуг відповідальність за збереження об’єкту та його складових, дотримання протипожежного стану та вимог безпеки праці покладається на надавача послуг, який у повному обсязі несе відповідальність за дотримання вимог охорони праці, виробничої санітарії, електробезпеки та пожежної безпеки на об’єкті.</w:t>
      </w:r>
    </w:p>
    <w:p w14:paraId="564C76DF"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При здійсненні розрахунку тендерної пропозиції зменшення складу, обсягів робіт та ресурсів викладених у цьому додатку до тендерної документації не допускається.</w:t>
      </w:r>
    </w:p>
    <w:p w14:paraId="4E7932BC"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 xml:space="preserve">Ціна тендерної пропозиції учасника (договірна ціна) є твердою та повинна бути розрахована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 листопада 2021 року № 281 (зі змінами). </w:t>
      </w:r>
    </w:p>
    <w:p w14:paraId="1A9C3B74"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Учасник визначає ціну з урахуванням усіх своїх витрат, податків і зборів, що сплачуються або мають бути сплачені.</w:t>
      </w:r>
    </w:p>
    <w:p w14:paraId="76A18CDB"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До ціни тендерної пропозиції не включаються витрати, пов'язані з укладанням договору та/або участі у торгах.</w:t>
      </w:r>
    </w:p>
    <w:p w14:paraId="2EA5A4D9"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Учасник відповідає за отримання всіх необхідних дозволів, ліцензій, необхідних для надання послуг, передбачених цим Технічним завданням, та самостійно несе всі витрати на отримання таких дозволів, ліцензій.</w:t>
      </w:r>
    </w:p>
    <w:p w14:paraId="23B1D2E7"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 xml:space="preserve">На підтвердження вимогам щодо відповідності предмета закупівлі Учасник </w:t>
      </w:r>
      <w:r w:rsidRPr="00D94091">
        <w:rPr>
          <w:rFonts w:ascii="Times New Roman" w:hAnsi="Times New Roman"/>
          <w:b/>
          <w:i/>
          <w:sz w:val="24"/>
          <w:szCs w:val="24"/>
          <w:lang w:eastAsia="en-US"/>
        </w:rPr>
        <w:t>надає</w:t>
      </w:r>
      <w:r w:rsidRPr="00D94091">
        <w:rPr>
          <w:rFonts w:ascii="Times New Roman" w:hAnsi="Times New Roman"/>
          <w:sz w:val="24"/>
          <w:szCs w:val="24"/>
          <w:lang w:eastAsia="en-US"/>
        </w:rPr>
        <w:t xml:space="preserve"> у складі тендерної пропозиції кошторисну документацію:</w:t>
      </w:r>
    </w:p>
    <w:p w14:paraId="77F4B8FD"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розрахунок договірної твердої ціни відповідно до чинних кошторисних норм України «Настанова з визначення вартості проектних, науково проектних, вишукувальних робіт та експертизи проектної документації на будівництво» затверджені наказом </w:t>
      </w:r>
      <w:proofErr w:type="spellStart"/>
      <w:r w:rsidRPr="00D94091">
        <w:rPr>
          <w:rFonts w:ascii="Times New Roman" w:eastAsia="Times New Roman" w:hAnsi="Times New Roman"/>
          <w:sz w:val="24"/>
          <w:szCs w:val="24"/>
          <w:lang w:eastAsia="en-US"/>
        </w:rPr>
        <w:t>Мінрегіону</w:t>
      </w:r>
      <w:proofErr w:type="spellEnd"/>
      <w:r w:rsidRPr="00D94091">
        <w:rPr>
          <w:rFonts w:ascii="Times New Roman" w:eastAsia="Times New Roman" w:hAnsi="Times New Roman"/>
          <w:sz w:val="24"/>
          <w:szCs w:val="24"/>
          <w:lang w:eastAsia="en-US"/>
        </w:rPr>
        <w:t xml:space="preserve"> від 01.11.2021 №281 (зі змінами);</w:t>
      </w:r>
    </w:p>
    <w:p w14:paraId="0269B049"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 пояснювальна записка;</w:t>
      </w:r>
    </w:p>
    <w:p w14:paraId="2B9C8310"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 локальний кошторис (має бути складений відповідно до технічної специфікації з урахуванням технологічного процесу); </w:t>
      </w:r>
    </w:p>
    <w:p w14:paraId="2E5CCC8A" w14:textId="77777777" w:rsidR="00D94091" w:rsidRPr="00D94091" w:rsidRDefault="00D94091" w:rsidP="00D94091">
      <w:pPr>
        <w:spacing w:after="160"/>
        <w:jc w:val="both"/>
        <w:rPr>
          <w:rFonts w:ascii="Times New Roman" w:hAnsi="Times New Roman"/>
          <w:sz w:val="24"/>
          <w:szCs w:val="24"/>
          <w:lang w:eastAsia="en-US"/>
        </w:rPr>
      </w:pPr>
      <w:r w:rsidRPr="00D94091">
        <w:rPr>
          <w:rFonts w:ascii="Times New Roman" w:eastAsia="Times New Roman" w:hAnsi="Times New Roman"/>
          <w:sz w:val="24"/>
          <w:szCs w:val="24"/>
          <w:lang w:eastAsia="en-US"/>
        </w:rPr>
        <w:t>- підсумкова відомість ресурсів</w:t>
      </w:r>
      <w:r w:rsidRPr="00D94091">
        <w:rPr>
          <w:rFonts w:ascii="Times New Roman" w:hAnsi="Times New Roman"/>
          <w:sz w:val="24"/>
          <w:szCs w:val="24"/>
          <w:lang w:eastAsia="en-US"/>
        </w:rPr>
        <w:t xml:space="preserve"> </w:t>
      </w:r>
    </w:p>
    <w:p w14:paraId="391F9ECD" w14:textId="77777777" w:rsidR="00D94091" w:rsidRPr="00D94091" w:rsidRDefault="00D94091" w:rsidP="00D94091">
      <w:pPr>
        <w:shd w:val="clear" w:color="auto" w:fill="FFFFFF"/>
        <w:tabs>
          <w:tab w:val="left" w:pos="426"/>
        </w:tabs>
        <w:spacing w:after="0" w:line="240" w:lineRule="auto"/>
        <w:ind w:left="-1134" w:firstLine="708"/>
        <w:contextualSpacing/>
        <w:jc w:val="both"/>
        <w:rPr>
          <w:rFonts w:ascii="Times New Roman" w:eastAsia="Times New Roman" w:hAnsi="Times New Roman"/>
          <w:sz w:val="24"/>
          <w:szCs w:val="24"/>
          <w:highlight w:val="yellow"/>
          <w:lang w:eastAsia="en-US"/>
        </w:rPr>
      </w:pPr>
    </w:p>
    <w:p w14:paraId="4DFB3413" w14:textId="4F749AEA" w:rsidR="009038F8" w:rsidRPr="009038F8" w:rsidRDefault="00D94091" w:rsidP="00D94091">
      <w:pPr>
        <w:autoSpaceDE w:val="0"/>
        <w:autoSpaceDN w:val="0"/>
        <w:spacing w:after="160" w:line="240" w:lineRule="auto"/>
        <w:jc w:val="both"/>
        <w:rPr>
          <w:rFonts w:ascii="Times New Roman" w:eastAsia="Times New Roman" w:hAnsi="Times New Roman"/>
          <w:sz w:val="24"/>
          <w:szCs w:val="24"/>
        </w:rPr>
      </w:pPr>
      <w:r w:rsidRPr="00D94091">
        <w:rPr>
          <w:rFonts w:ascii="Times New Roman" w:hAnsi="Times New Roman"/>
          <w:sz w:val="24"/>
          <w:szCs w:val="24"/>
          <w:lang w:eastAsia="en-US"/>
        </w:rPr>
        <w:t xml:space="preserve">На підтвердження якісних характеристик </w:t>
      </w:r>
      <w:r w:rsidRPr="00D94091">
        <w:rPr>
          <w:rFonts w:ascii="Times New Roman" w:hAnsi="Times New Roman"/>
          <w:sz w:val="24"/>
          <w:szCs w:val="24"/>
          <w:u w:val="single"/>
          <w:lang w:eastAsia="en-US"/>
        </w:rPr>
        <w:t>віконних блоків метало пластикових</w:t>
      </w:r>
      <w:r w:rsidRPr="00D94091">
        <w:rPr>
          <w:rFonts w:ascii="Times New Roman" w:hAnsi="Times New Roman"/>
          <w:sz w:val="24"/>
          <w:szCs w:val="24"/>
          <w:lang w:eastAsia="en-US"/>
        </w:rPr>
        <w:t xml:space="preserve"> учасник повинен надати у складі тендерної пропозиції </w:t>
      </w:r>
      <w:r w:rsidRPr="00D94091">
        <w:rPr>
          <w:rFonts w:ascii="Times New Roman" w:eastAsia="Times New Roman" w:hAnsi="Times New Roman"/>
          <w:sz w:val="24"/>
          <w:szCs w:val="24"/>
          <w:lang w:eastAsia="en-US"/>
        </w:rPr>
        <w:t>документ або копія документу (-</w:t>
      </w:r>
      <w:proofErr w:type="spellStart"/>
      <w:r w:rsidRPr="00D94091">
        <w:rPr>
          <w:rFonts w:ascii="Times New Roman" w:eastAsia="Times New Roman" w:hAnsi="Times New Roman"/>
          <w:sz w:val="24"/>
          <w:szCs w:val="24"/>
          <w:lang w:eastAsia="en-US"/>
        </w:rPr>
        <w:t>ів</w:t>
      </w:r>
      <w:proofErr w:type="spellEnd"/>
      <w:r w:rsidRPr="00D94091">
        <w:rPr>
          <w:rFonts w:ascii="Times New Roman" w:eastAsia="Times New Roman" w:hAnsi="Times New Roman"/>
          <w:sz w:val="24"/>
          <w:szCs w:val="24"/>
          <w:lang w:eastAsia="en-US"/>
        </w:rPr>
        <w:t xml:space="preserve">), що підтверджує якість на матеріали, що будуть використовуватись (профілі ПВХ, склопакети, фурнітура), видані уповноваженими органами (сертифікат, декларація, паспорт, посвідчення, висновок державної санітарно-епідеміологічної експертизи або ін.) </w:t>
      </w:r>
    </w:p>
    <w:sectPr w:rsidR="009038F8" w:rsidRPr="009038F8" w:rsidSect="00A45A52">
      <w:pgSz w:w="11906" w:h="16838"/>
      <w:pgMar w:top="851" w:right="851" w:bottom="851" w:left="141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5166"/>
    <w:multiLevelType w:val="multilevel"/>
    <w:tmpl w:val="FC7A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7A0D27"/>
    <w:multiLevelType w:val="multilevel"/>
    <w:tmpl w:val="8F948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C61A3"/>
    <w:multiLevelType w:val="multilevel"/>
    <w:tmpl w:val="2F7C61A3"/>
    <w:lvl w:ilvl="0">
      <w:start w:val="1"/>
      <w:numFmt w:val="bullet"/>
      <w:lvlText w:val="-"/>
      <w:lvlJc w:val="left"/>
      <w:pPr>
        <w:ind w:left="480" w:hanging="360"/>
      </w:pPr>
      <w:rPr>
        <w:rFonts w:ascii="Times New Roman" w:eastAsia="Calibri"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3" w15:restartNumberingAfterBreak="0">
    <w:nsid w:val="5F980855"/>
    <w:multiLevelType w:val="hybridMultilevel"/>
    <w:tmpl w:val="A524F3EA"/>
    <w:lvl w:ilvl="0" w:tplc="E97E231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545FE4"/>
    <w:multiLevelType w:val="hybridMultilevel"/>
    <w:tmpl w:val="D76E4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14074"/>
    <w:rsid w:val="00025E56"/>
    <w:rsid w:val="001D2B59"/>
    <w:rsid w:val="003040AC"/>
    <w:rsid w:val="00371596"/>
    <w:rsid w:val="003830C6"/>
    <w:rsid w:val="005200A4"/>
    <w:rsid w:val="0053608E"/>
    <w:rsid w:val="00572281"/>
    <w:rsid w:val="00653DDA"/>
    <w:rsid w:val="006E161B"/>
    <w:rsid w:val="0073307A"/>
    <w:rsid w:val="00786EA5"/>
    <w:rsid w:val="007A326D"/>
    <w:rsid w:val="007C10E4"/>
    <w:rsid w:val="008E2E6D"/>
    <w:rsid w:val="009038F8"/>
    <w:rsid w:val="009304DA"/>
    <w:rsid w:val="009529BA"/>
    <w:rsid w:val="009A2B80"/>
    <w:rsid w:val="009D3E53"/>
    <w:rsid w:val="00A45A52"/>
    <w:rsid w:val="00A83BB4"/>
    <w:rsid w:val="00A93C06"/>
    <w:rsid w:val="00B023C1"/>
    <w:rsid w:val="00B4465E"/>
    <w:rsid w:val="00BB4426"/>
    <w:rsid w:val="00C949CF"/>
    <w:rsid w:val="00CA24FF"/>
    <w:rsid w:val="00D37701"/>
    <w:rsid w:val="00D94091"/>
    <w:rsid w:val="00DC372C"/>
    <w:rsid w:val="00DC69DF"/>
    <w:rsid w:val="00DF3764"/>
    <w:rsid w:val="00DF7B24"/>
    <w:rsid w:val="00F46008"/>
    <w:rsid w:val="00FC6E66"/>
    <w:rsid w:val="00FD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83BB4"/>
    <w:pPr>
      <w:ind w:left="720"/>
      <w:contextualSpacing/>
    </w:pPr>
    <w:rPr>
      <w:rFonts w:asciiTheme="minorHAnsi" w:eastAsiaTheme="minorHAnsi" w:hAnsiTheme="minorHAnsi" w:cstheme="minorBidi"/>
      <w:lang w:val="ru-RU" w:eastAsia="en-US"/>
    </w:rPr>
  </w:style>
  <w:style w:type="table" w:styleId="a8">
    <w:name w:val="Table Grid"/>
    <w:basedOn w:val="a1"/>
    <w:uiPriority w:val="39"/>
    <w:qFormat/>
    <w:rsid w:val="00D94091"/>
    <w:pPr>
      <w:spacing w:after="0" w:line="240" w:lineRule="auto"/>
    </w:pPr>
    <w:rPr>
      <w:rFonts w:ascii="Times New Roman" w:eastAsia="SimSu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20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ns\Ccalc6.80\temp2.bmp"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Users\ns\Ccalc6.80\temp3.bmp"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C6FBA2-430B-4B12-A7AD-F00DA7B8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2</cp:revision>
  <dcterms:created xsi:type="dcterms:W3CDTF">2026-04-06T06:39:00Z</dcterms:created>
  <dcterms:modified xsi:type="dcterms:W3CDTF">2026-04-06T06:39:00Z</dcterms:modified>
</cp:coreProperties>
</file>